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1"/>
        <w:tabs>
          <w:tab w:val="clear" w:pos="720"/>
          <w:tab w:val="left" w:pos="1261" w:leader="none"/>
        </w:tabs>
        <w:jc w:val="center"/>
        <w:rPr>
          <w:sz w:val="30"/>
          <w:szCs w:val="30"/>
        </w:rPr>
      </w:pPr>
      <w:r>
        <w:rPr>
          <w:sz w:val="30"/>
          <w:szCs w:val="30"/>
        </w:rPr>
        <w:t>f</w:t>
      </w:r>
      <w:r>
        <w:rPr>
          <w:sz w:val="30"/>
          <w:szCs w:val="30"/>
        </w:rPr>
        <w:t>References used in the Examing Dark Money Salon</w:t>
      </w:r>
    </w:p>
    <w:p>
      <w:pPr>
        <w:pStyle w:val="Normal1"/>
        <w:jc w:val="center"/>
        <w:rPr>
          <w:sz w:val="24"/>
          <w:szCs w:val="24"/>
        </w:rPr>
      </w:pPr>
      <w:r>
        <w:rPr>
          <w:sz w:val="24"/>
          <w:szCs w:val="24"/>
        </w:rPr>
        <w:t>April 11, 2025</w:t>
      </w:r>
    </w:p>
    <w:p>
      <w:pPr>
        <w:pStyle w:val="Normal1"/>
        <w:jc w:val="center"/>
        <w:rPr>
          <w:sz w:val="24"/>
          <w:szCs w:val="24"/>
        </w:rPr>
      </w:pPr>
      <w:r>
        <w:rPr>
          <w:sz w:val="24"/>
          <w:szCs w:val="24"/>
        </w:rPr>
        <w:t>by Rick Casey</w:t>
      </w:r>
    </w:p>
    <w:p>
      <w:pPr>
        <w:pStyle w:val="Normal1"/>
        <w:rPr>
          <w:sz w:val="26"/>
          <w:szCs w:val="26"/>
        </w:rPr>
      </w:pPr>
      <w:r>
        <w:rPr>
          <w:sz w:val="26"/>
          <w:szCs w:val="26"/>
        </w:rPr>
      </w:r>
    </w:p>
    <w:p>
      <w:pPr>
        <w:pStyle w:val="Normal1"/>
        <w:rPr>
          <w:sz w:val="26"/>
          <w:szCs w:val="26"/>
        </w:rPr>
      </w:pPr>
      <w:r>
        <w:rPr>
          <w:sz w:val="26"/>
          <w:szCs w:val="26"/>
        </w:rPr>
        <w:t xml:space="preserve">Main references: </w:t>
      </w:r>
    </w:p>
    <w:p>
      <w:pPr>
        <w:pStyle w:val="Normal1"/>
        <w:rPr>
          <w:sz w:val="26"/>
          <w:szCs w:val="26"/>
        </w:rPr>
      </w:pPr>
      <w:r>
        <w:rPr>
          <w:sz w:val="26"/>
          <w:szCs w:val="26"/>
        </w:rPr>
      </w:r>
    </w:p>
    <w:p>
      <w:pPr>
        <w:pStyle w:val="Normal1"/>
        <w:rPr>
          <w:sz w:val="24"/>
          <w:szCs w:val="24"/>
        </w:rPr>
      </w:pPr>
      <w:r>
        <w:rPr>
          <w:sz w:val="24"/>
          <w:szCs w:val="24"/>
        </w:rPr>
        <w:t xml:space="preserve">Jane Mayer, </w:t>
      </w:r>
      <w:r>
        <w:rPr>
          <w:i/>
          <w:sz w:val="24"/>
          <w:szCs w:val="24"/>
        </w:rPr>
        <w:t>Dark Money: The Hidden History of the Billionaires Behind the Rise of the Radical Right</w:t>
      </w:r>
      <w:r>
        <w:rPr>
          <w:sz w:val="24"/>
          <w:szCs w:val="24"/>
        </w:rPr>
        <w:t>, 2016, Anchor Books. (</w:t>
      </w:r>
      <w:hyperlink r:id="rId2">
        <w:r>
          <w:rPr>
            <w:color w:val="1155CC"/>
            <w:sz w:val="24"/>
            <w:szCs w:val="24"/>
            <w:u w:val="single"/>
          </w:rPr>
          <w:t>Amazon page</w:t>
        </w:r>
      </w:hyperlink>
      <w:r>
        <w:rPr>
          <w:sz w:val="24"/>
          <w:szCs w:val="24"/>
        </w:rPr>
        <w:t>)</w:t>
      </w:r>
    </w:p>
    <w:p>
      <w:pPr>
        <w:pStyle w:val="Normal1"/>
        <w:rPr>
          <w:sz w:val="24"/>
          <w:szCs w:val="24"/>
        </w:rPr>
      </w:pPr>
      <w:r>
        <w:rPr>
          <w:sz w:val="24"/>
          <w:szCs w:val="24"/>
        </w:rPr>
      </w:r>
    </w:p>
    <w:p>
      <w:pPr>
        <w:pStyle w:val="Normal1"/>
        <w:rPr>
          <w:sz w:val="24"/>
          <w:szCs w:val="24"/>
        </w:rPr>
      </w:pPr>
      <w:r>
        <w:rPr>
          <w:sz w:val="24"/>
          <w:szCs w:val="24"/>
        </w:rPr>
        <w:t xml:space="preserve">Christopher Leonard, </w:t>
      </w:r>
      <w:r>
        <w:rPr>
          <w:i/>
          <w:sz w:val="24"/>
          <w:szCs w:val="24"/>
        </w:rPr>
        <w:t>Kochland: The Secret History of Koch Industries and Corporate Power in America</w:t>
      </w:r>
      <w:r>
        <w:rPr>
          <w:sz w:val="24"/>
          <w:szCs w:val="24"/>
        </w:rPr>
        <w:t>, 2019, Simon and Schuster. (</w:t>
      </w:r>
      <w:hyperlink r:id="rId3">
        <w:r>
          <w:rPr>
            <w:color w:val="1155CC"/>
            <w:sz w:val="24"/>
            <w:szCs w:val="24"/>
            <w:u w:val="single"/>
          </w:rPr>
          <w:t>Amazon page</w:t>
        </w:r>
      </w:hyperlink>
      <w:r>
        <w:rPr>
          <w:sz w:val="24"/>
          <w:szCs w:val="24"/>
        </w:rPr>
        <w:t>)</w:t>
      </w:r>
    </w:p>
    <w:p>
      <w:pPr>
        <w:pStyle w:val="Normal1"/>
        <w:rPr/>
      </w:pPr>
      <w:r>
        <w:rPr/>
      </w:r>
    </w:p>
    <w:p>
      <w:pPr>
        <w:pStyle w:val="Normal1"/>
        <w:rPr/>
      </w:pPr>
      <w:r>
        <w:rPr/>
      </w:r>
    </w:p>
    <w:p>
      <w:pPr>
        <w:pStyle w:val="Normal1"/>
        <w:rPr/>
      </w:pPr>
      <w:r>
        <w:rPr/>
        <mc:AlternateContent>
          <mc:Choice Requires="wps">
            <w:drawing>
              <wp:inline distT="0" distB="0" distL="0" distR="0">
                <wp:extent cx="5943600" cy="19050"/>
                <wp:effectExtent l="0" t="0" r="0" b="0"/>
                <wp:docPr id="1" name=""/>
                <a:graphic xmlns:a="http://schemas.openxmlformats.org/drawingml/2006/main">
                  <a:graphicData uri="http://schemas.microsoft.com/office/word/2010/wordprocessingShape">
                    <wps:wsp>
                      <wps:cNvSpPr/>
                      <wps:nvSpPr>
                        <wps:cNvPr id="0" name=""/>
                        <wps:cNvSpPr/>
                      </wps:nvSpPr>
                      <wps:spPr>
                        <a:xfrm>
                          <a:off x="0" y="0"/>
                          <a:ext cx="5943600" cy="19080"/>
                        </a:xfrm>
                        <a:prstGeom prst="rect">
                          <a:avLst/>
                        </a:prstGeom>
                        <a:solidFill>
                          <a:srgbClr val="a0a0a0"/>
                        </a:solidFill>
                        <a:ln w="0">
                          <a:noFill/>
                        </a:ln>
                      </wps:spPr>
                      <wps:bodyPr/>
                    </wps:wsp>
                  </a:graphicData>
                </a:graphic>
                <wp14:sizeRelH relativeFrom="page">
                  <wp14:pctWidth>100000</wp14:pctWidth>
                </wp14:sizeRelH>
              </wp:inline>
            </w:drawing>
          </mc:Choice>
          <mc:Fallback>
            <w:pict>
              <v:rect id="shape_0" fillcolor="#a0a0a0" stroked="f" o:allowincell="f" style="position:absolute;margin-left:0pt;margin-top:-1.55pt;width:467.95pt;height:1.45pt;mso-wrap-style:none;v-text-anchor:middle;mso-position-horizontal:center;mso-position-vertical:top">
                <v:fill o:detectmouseclick="t" type="solid" color2="#5f5f5f"/>
                <v:stroke color="#3465a4" joinstyle="round" endcap="flat"/>
                <w10:wrap type="topAndBottom"/>
              </v:rect>
            </w:pict>
          </mc:Fallback>
        </mc:AlternateContent>
      </w:r>
    </w:p>
    <w:p>
      <w:pPr>
        <w:pStyle w:val="Normal1"/>
        <w:rPr/>
      </w:pPr>
      <w:r>
        <w:rPr/>
      </w:r>
    </w:p>
    <w:p>
      <w:pPr>
        <w:pStyle w:val="Normal1"/>
        <w:rPr/>
      </w:pPr>
      <w:r>
        <w:rPr/>
      </w:r>
    </w:p>
    <w:p>
      <w:pPr>
        <w:pStyle w:val="Normal1"/>
        <w:rPr>
          <w:sz w:val="26"/>
          <w:szCs w:val="26"/>
        </w:rPr>
      </w:pPr>
      <w:hyperlink r:id="rId4">
        <w:r>
          <w:rPr>
            <w:color w:val="1155CC"/>
            <w:sz w:val="26"/>
            <w:szCs w:val="26"/>
            <w:u w:val="single"/>
          </w:rPr>
          <w:t>The One Thing Trump Won't Forget</w:t>
        </w:r>
      </w:hyperlink>
    </w:p>
    <w:p>
      <w:pPr>
        <w:pStyle w:val="Normal1"/>
        <w:rPr>
          <w:sz w:val="26"/>
          <w:szCs w:val="26"/>
        </w:rPr>
      </w:pPr>
      <w:r>
        <w:rPr>
          <w:sz w:val="26"/>
          <w:szCs w:val="26"/>
        </w:rPr>
      </w:r>
    </w:p>
    <w:p>
      <w:pPr>
        <w:pStyle w:val="Normal1"/>
        <w:rPr/>
      </w:pPr>
      <w:r>
        <w:rPr/>
        <w:t xml:space="preserve">A short (5 min) rather remarkable video by Sen Adam Schiff about how Trump is being shielded from legal prosecution by the SCOTUS. Strong evidence of the capture of the executive and judicial branches of federal govt, and the removal of the checks and balances to prevent tyranny. Good work by Sen Schiff keeping us informed. </w:t>
      </w:r>
    </w:p>
    <w:p>
      <w:pPr>
        <w:pStyle w:val="Normal1"/>
        <w:rPr/>
      </w:pPr>
      <w:r>
        <w:rPr/>
      </w:r>
    </w:p>
    <w:p>
      <w:pPr>
        <w:pStyle w:val="Normal1"/>
        <w:rPr/>
      </w:pPr>
      <w:r>
        <w:rPr/>
        <mc:AlternateContent>
          <mc:Choice Requires="wps">
            <w:drawing>
              <wp:inline distT="0" distB="0" distL="0" distR="0">
                <wp:extent cx="5943600" cy="19050"/>
                <wp:effectExtent l="0" t="0" r="0" b="0"/>
                <wp:docPr id="2" name=""/>
                <a:graphic xmlns:a="http://schemas.openxmlformats.org/drawingml/2006/main">
                  <a:graphicData uri="http://schemas.microsoft.com/office/word/2010/wordprocessingShape">
                    <wps:wsp>
                      <wps:cNvSpPr/>
                      <wps:nvSpPr>
                        <wps:cNvPr id="1" name=""/>
                        <wps:cNvSpPr/>
                      </wps:nvSpPr>
                      <wps:spPr>
                        <a:xfrm>
                          <a:off x="0" y="0"/>
                          <a:ext cx="5943600" cy="19080"/>
                        </a:xfrm>
                        <a:prstGeom prst="rect">
                          <a:avLst/>
                        </a:prstGeom>
                        <a:solidFill>
                          <a:srgbClr val="a0a0a0"/>
                        </a:solidFill>
                        <a:ln w="0">
                          <a:noFill/>
                        </a:ln>
                      </wps:spPr>
                      <wps:bodyPr/>
                    </wps:wsp>
                  </a:graphicData>
                </a:graphic>
                <wp14:sizeRelH relativeFrom="page">
                  <wp14:pctWidth>100000</wp14:pctWidth>
                </wp14:sizeRelH>
              </wp:inline>
            </w:drawing>
          </mc:Choice>
          <mc:Fallback>
            <w:pict>
              <v:rect id="shape_0" fillcolor="#a0a0a0" stroked="f" o:allowincell="f" style="position:absolute;margin-left:0pt;margin-top:-1.55pt;width:467.95pt;height:1.45pt;mso-wrap-style:none;v-text-anchor:middle;mso-position-horizontal:center;mso-position-vertical:top">
                <v:fill o:detectmouseclick="t" type="solid" color2="#5f5f5f"/>
                <v:stroke color="#3465a4" joinstyle="round" endcap="flat"/>
                <w10:wrap type="topAndBottom"/>
              </v:rect>
            </w:pict>
          </mc:Fallback>
        </mc:AlternateContent>
      </w:r>
    </w:p>
    <w:p>
      <w:pPr>
        <w:pStyle w:val="Normal1"/>
        <w:rPr/>
      </w:pPr>
      <w:r>
        <w:rPr/>
      </w:r>
    </w:p>
    <w:p>
      <w:pPr>
        <w:pStyle w:val="Normal1"/>
        <w:rPr/>
      </w:pPr>
      <w:r>
        <w:rPr/>
      </w:r>
    </w:p>
    <w:p>
      <w:pPr>
        <w:pStyle w:val="Normal1"/>
        <w:rPr/>
      </w:pPr>
      <w:hyperlink r:id="rId5">
        <w:r>
          <w:rPr>
            <w:color w:val="1155CC"/>
            <w:u w:val="single"/>
          </w:rPr>
          <w:t>What's in the House's Full-Year Continuing Resolution?</w:t>
        </w:r>
      </w:hyperlink>
    </w:p>
    <w:p>
      <w:pPr>
        <w:pStyle w:val="Normal1"/>
        <w:rPr/>
      </w:pPr>
      <w:r>
        <w:rPr/>
      </w:r>
    </w:p>
    <w:p>
      <w:pPr>
        <w:pStyle w:val="Normal1"/>
        <w:rPr/>
      </w:pPr>
      <w:r>
        <w:rPr/>
        <w:t>A non-partisan summary of the CR for the remainder of 2025. It’s grim…</w:t>
      </w:r>
    </w:p>
    <w:p>
      <w:pPr>
        <w:pStyle w:val="Normal1"/>
        <w:rPr/>
      </w:pPr>
      <w:r>
        <w:rPr/>
      </w:r>
    </w:p>
    <w:p>
      <w:pPr>
        <w:pStyle w:val="Normal1"/>
        <w:rPr/>
      </w:pPr>
      <w:r>
        <w:rPr/>
        <mc:AlternateContent>
          <mc:Choice Requires="wps">
            <w:drawing>
              <wp:inline distT="0" distB="0" distL="0" distR="0">
                <wp:extent cx="5943600" cy="19050"/>
                <wp:effectExtent l="0" t="0" r="0" b="0"/>
                <wp:docPr id="3" name=""/>
                <a:graphic xmlns:a="http://schemas.openxmlformats.org/drawingml/2006/main">
                  <a:graphicData uri="http://schemas.microsoft.com/office/word/2010/wordprocessingShape">
                    <wps:wsp>
                      <wps:cNvSpPr/>
                      <wps:nvSpPr>
                        <wps:cNvPr id="2" name=""/>
                        <wps:cNvSpPr/>
                      </wps:nvSpPr>
                      <wps:spPr>
                        <a:xfrm>
                          <a:off x="0" y="0"/>
                          <a:ext cx="5943600" cy="19080"/>
                        </a:xfrm>
                        <a:prstGeom prst="rect">
                          <a:avLst/>
                        </a:prstGeom>
                        <a:solidFill>
                          <a:srgbClr val="a0a0a0"/>
                        </a:solidFill>
                        <a:ln w="0">
                          <a:noFill/>
                        </a:ln>
                      </wps:spPr>
                      <wps:bodyPr/>
                    </wps:wsp>
                  </a:graphicData>
                </a:graphic>
                <wp14:sizeRelH relativeFrom="page">
                  <wp14:pctWidth>100000</wp14:pctWidth>
                </wp14:sizeRelH>
              </wp:inline>
            </w:drawing>
          </mc:Choice>
          <mc:Fallback>
            <w:pict>
              <v:rect id="shape_0" fillcolor="#a0a0a0" stroked="f" o:allowincell="f" style="position:absolute;margin-left:0pt;margin-top:-1.55pt;width:467.95pt;height:1.45pt;mso-wrap-style:none;v-text-anchor:middle;mso-position-horizontal:center;mso-position-vertical:top">
                <v:fill o:detectmouseclick="t" type="solid" color2="#5f5f5f"/>
                <v:stroke color="#3465a4" joinstyle="round" endcap="flat"/>
                <w10:wrap type="topAndBottom"/>
              </v:rect>
            </w:pict>
          </mc:Fallback>
        </mc:AlternateContent>
      </w:r>
    </w:p>
    <w:p>
      <w:pPr>
        <w:pStyle w:val="Normal1"/>
        <w:rPr/>
      </w:pPr>
      <w:r>
        <w:rPr/>
      </w:r>
    </w:p>
    <w:p>
      <w:pPr>
        <w:pStyle w:val="Normal1"/>
        <w:rPr/>
      </w:pPr>
      <w:hyperlink r:id="rId6">
        <w:r>
          <w:rPr>
            <w:color w:val="1155CC"/>
            <w:u w:val="single"/>
          </w:rPr>
          <w:t>The History of the Tea Party in Four Minutes</w:t>
        </w:r>
      </w:hyperlink>
    </w:p>
    <w:p>
      <w:pPr>
        <w:pStyle w:val="Normal1"/>
        <w:rPr/>
      </w:pPr>
      <w:r>
        <w:rPr/>
      </w:r>
    </w:p>
    <w:p>
      <w:pPr>
        <w:pStyle w:val="Normal1"/>
        <w:rPr/>
      </w:pPr>
      <w:r>
        <w:rPr/>
        <w:t xml:space="preserve">A concise, if overwhelming and sped up, summary of the origins, rise and then fall of the Tea Party movement. It focuses on how Dark Money was able to create a national level organization to promote the original Tea Party rant by one individual, Rick Santelli, within one month in summer of 2010. This continued all summer, and had real impacts on the fall 2010 mid-term elections. </w:t>
      </w:r>
    </w:p>
    <w:p>
      <w:pPr>
        <w:pStyle w:val="Normal1"/>
        <w:rPr/>
      </w:pPr>
      <w:r>
        <w:rPr/>
      </w:r>
    </w:p>
    <w:p>
      <w:pPr>
        <w:pStyle w:val="Normal1"/>
        <w:rPr/>
      </w:pPr>
      <w:r>
        <w:rPr/>
      </w:r>
    </w:p>
    <w:p>
      <w:pPr>
        <w:pStyle w:val="Normal1"/>
        <w:rPr/>
      </w:pPr>
      <w:r>
        <w:rPr/>
        <mc:AlternateContent>
          <mc:Choice Requires="wps">
            <w:drawing>
              <wp:inline distT="0" distB="0" distL="0" distR="0">
                <wp:extent cx="5943600" cy="19050"/>
                <wp:effectExtent l="0" t="0" r="0" b="0"/>
                <wp:docPr id="4" name=""/>
                <a:graphic xmlns:a="http://schemas.openxmlformats.org/drawingml/2006/main">
                  <a:graphicData uri="http://schemas.microsoft.com/office/word/2010/wordprocessingShape">
                    <wps:wsp>
                      <wps:cNvSpPr/>
                      <wps:nvSpPr>
                        <wps:cNvPr id="3" name=""/>
                        <wps:cNvSpPr/>
                      </wps:nvSpPr>
                      <wps:spPr>
                        <a:xfrm>
                          <a:off x="0" y="0"/>
                          <a:ext cx="5943600" cy="19080"/>
                        </a:xfrm>
                        <a:prstGeom prst="rect">
                          <a:avLst/>
                        </a:prstGeom>
                        <a:solidFill>
                          <a:srgbClr val="a0a0a0"/>
                        </a:solidFill>
                        <a:ln w="0">
                          <a:noFill/>
                        </a:ln>
                      </wps:spPr>
                      <wps:bodyPr/>
                    </wps:wsp>
                  </a:graphicData>
                </a:graphic>
                <wp14:sizeRelH relativeFrom="page">
                  <wp14:pctWidth>100000</wp14:pctWidth>
                </wp14:sizeRelH>
              </wp:inline>
            </w:drawing>
          </mc:Choice>
          <mc:Fallback>
            <w:pict>
              <v:rect id="shape_0" fillcolor="#a0a0a0" stroked="f" o:allowincell="f" style="position:absolute;margin-left:0pt;margin-top:-1.55pt;width:467.95pt;height:1.45pt;mso-wrap-style:none;v-text-anchor:middle;mso-position-horizontal:center;mso-position-vertical:top">
                <v:fill o:detectmouseclick="t" type="solid" color2="#5f5f5f"/>
                <v:stroke color="#3465a4" joinstyle="round" endcap="flat"/>
                <w10:wrap type="topAndBottom"/>
              </v:rect>
            </w:pict>
          </mc:Fallback>
        </mc:AlternateContent>
      </w:r>
    </w:p>
    <w:p>
      <w:pPr>
        <w:pStyle w:val="Normal1"/>
        <w:rPr/>
      </w:pPr>
      <w:r>
        <w:rPr/>
      </w:r>
    </w:p>
    <w:p>
      <w:pPr>
        <w:pStyle w:val="Normal1"/>
        <w:rPr/>
      </w:pPr>
      <w:hyperlink r:id="rId7">
        <w:r>
          <w:rPr>
            <w:color w:val="1155CC"/>
            <w:u w:val="single"/>
          </w:rPr>
          <w:t>DARK MONEY (2018) | Official Trailer HD | PBS Distribution</w:t>
        </w:r>
      </w:hyperlink>
    </w:p>
    <w:p>
      <w:pPr>
        <w:pStyle w:val="Normal1"/>
        <w:rPr/>
      </w:pPr>
      <w:r>
        <w:rPr/>
      </w:r>
    </w:p>
    <w:p>
      <w:pPr>
        <w:pStyle w:val="Normal1"/>
        <w:rPr/>
      </w:pPr>
      <w:r>
        <w:rPr/>
        <w:t>“</w:t>
      </w:r>
      <w:r>
        <w:rPr/>
        <w:t>DARK MONEY, a political thriller, examines one of the greatest present threats to American democracy: the influence of untraceable corporate money on our elections and elected officials. The film takes viewers to Montana--a front line in the fight to preserve fair elections nationwide--to follow an intrepid local journalist working to expose the real-life impact of the US Supreme Court's Citizens United decision. Through this gripping story, DARK MONEY uncovers the shocking and vital truth of how American elections are bought and sold. This Sundance award-winning documentary is directed/produced by Kimberly Reed (PRODIGAL SONS) and produced by Katy Chevigny (E-TEAM).”</w:t>
      </w:r>
    </w:p>
    <w:p>
      <w:pPr>
        <w:pStyle w:val="Normal1"/>
        <w:rPr/>
      </w:pPr>
      <w:r>
        <w:rPr/>
      </w:r>
    </w:p>
    <w:p>
      <w:pPr>
        <w:pStyle w:val="Normal1"/>
        <w:rPr/>
      </w:pPr>
      <w:r>
        <w:rPr/>
        <w:t xml:space="preserve">Montana is an exceptional example of the disastrous effects of the 2010 Citizens United case. Until then, Montana had the strongest campaign finance laws of any state, due to its laws had been passed earlier in the 20th century due to the deep corruption of its state politics my the Anaconda Mining Corporation, the Corrupt Practices Act. That state law was invalidated by a 2012 SCOTUS ruling, following the 2010 Citizens United ruling. The court case was </w:t>
      </w:r>
      <w:hyperlink r:id="rId8">
        <w:r>
          <w:rPr>
            <w:i/>
            <w:color w:val="1155CC"/>
            <w:u w:val="single"/>
          </w:rPr>
          <w:t>American Tradition Partnership, Inc. v. Bullock</w:t>
        </w:r>
      </w:hyperlink>
      <w:r>
        <w:rPr/>
        <w:t xml:space="preserve">, basically a lawsuit brought by a front group funded by Dark Money, to attack one of Montana’s strongest laws, passed in 1912, against corrupt corporate money from influencing its state’s politics, and win – simply because the SCOTUS could use Citizens United ruling to do so. The case initially won when the Montana Supreme Court upheld the decision but were overruled by the SCOTUS.  </w:t>
      </w:r>
    </w:p>
    <w:p>
      <w:pPr>
        <w:pStyle w:val="Normal1"/>
        <w:rPr/>
      </w:pPr>
      <w:r>
        <w:rPr/>
      </w:r>
    </w:p>
    <w:p>
      <w:pPr>
        <w:pStyle w:val="Normal1"/>
        <w:rPr/>
      </w:pPr>
      <w:r>
        <w:rPr/>
        <w:t>The film can be rented for $4 at YouTube at the above link</w:t>
      </w:r>
    </w:p>
    <w:p>
      <w:pPr>
        <w:pStyle w:val="Normal1"/>
        <w:rPr/>
      </w:pPr>
      <w:r>
        <w:rPr/>
      </w:r>
    </w:p>
    <w:p>
      <w:pPr>
        <w:pStyle w:val="Normal1"/>
        <w:rPr/>
      </w:pPr>
      <w:r>
        <w:rPr/>
      </w:r>
    </w:p>
    <w:p>
      <w:pPr>
        <w:pStyle w:val="Normal1"/>
        <w:rPr/>
      </w:pPr>
      <w:r>
        <w:rPr/>
        <mc:AlternateContent>
          <mc:Choice Requires="wps">
            <w:drawing>
              <wp:inline distT="0" distB="0" distL="0" distR="0">
                <wp:extent cx="5943600" cy="19050"/>
                <wp:effectExtent l="0" t="0" r="0" b="0"/>
                <wp:docPr id="5" name=""/>
                <a:graphic xmlns:a="http://schemas.openxmlformats.org/drawingml/2006/main">
                  <a:graphicData uri="http://schemas.microsoft.com/office/word/2010/wordprocessingShape">
                    <wps:wsp>
                      <wps:cNvSpPr/>
                      <wps:nvSpPr>
                        <wps:cNvPr id="4" name=""/>
                        <wps:cNvSpPr/>
                      </wps:nvSpPr>
                      <wps:spPr>
                        <a:xfrm>
                          <a:off x="0" y="0"/>
                          <a:ext cx="5943600" cy="19080"/>
                        </a:xfrm>
                        <a:prstGeom prst="rect">
                          <a:avLst/>
                        </a:prstGeom>
                        <a:solidFill>
                          <a:srgbClr val="a0a0a0"/>
                        </a:solidFill>
                        <a:ln w="0">
                          <a:noFill/>
                        </a:ln>
                      </wps:spPr>
                      <wps:bodyPr/>
                    </wps:wsp>
                  </a:graphicData>
                </a:graphic>
                <wp14:sizeRelH relativeFrom="page">
                  <wp14:pctWidth>100000</wp14:pctWidth>
                </wp14:sizeRelH>
              </wp:inline>
            </w:drawing>
          </mc:Choice>
          <mc:Fallback>
            <w:pict>
              <v:rect id="shape_0" fillcolor="#a0a0a0" stroked="f" o:allowincell="f" style="position:absolute;margin-left:0pt;margin-top:-1.55pt;width:467.95pt;height:1.45pt;mso-wrap-style:none;v-text-anchor:middle;mso-position-horizontal:center;mso-position-vertical:top">
                <v:fill o:detectmouseclick="t" type="solid" color2="#5f5f5f"/>
                <v:stroke color="#3465a4" joinstyle="round" endcap="flat"/>
                <w10:wrap type="topAndBottom"/>
              </v:rect>
            </w:pict>
          </mc:Fallback>
        </mc:AlternateContent>
      </w:r>
    </w:p>
    <w:p>
      <w:pPr>
        <w:pStyle w:val="Normal1"/>
        <w:rPr/>
      </w:pPr>
      <w:r>
        <w:rPr/>
      </w:r>
    </w:p>
    <w:p>
      <w:pPr>
        <w:pStyle w:val="Normal1"/>
        <w:rPr/>
      </w:pPr>
      <w:hyperlink r:id="rId9">
        <w:r>
          <w:rPr>
            <w:color w:val="1155CC"/>
            <w:u w:val="single"/>
          </w:rPr>
          <w:t>www.opensecrets.org</w:t>
        </w:r>
      </w:hyperlink>
      <w:r>
        <w:rPr/>
        <w:t xml:space="preserve"> </w:t>
      </w:r>
    </w:p>
    <w:p>
      <w:pPr>
        <w:pStyle w:val="Normal1"/>
        <w:rPr/>
      </w:pPr>
      <w:r>
        <w:rPr/>
        <w:t xml:space="preserve">The foremost publicly available documentation of tracing the dark money networks now controlling our politics. It deserves more support. </w:t>
      </w:r>
    </w:p>
    <w:p>
      <w:pPr>
        <w:pStyle w:val="Normal1"/>
        <w:rPr/>
      </w:pPr>
      <w:r>
        <w:rPr/>
      </w:r>
    </w:p>
    <w:p>
      <w:pPr>
        <w:pStyle w:val="Normal1"/>
        <w:rPr/>
      </w:pPr>
      <w:r>
        <w:rPr/>
        <mc:AlternateContent>
          <mc:Choice Requires="wps">
            <w:drawing>
              <wp:inline distT="0" distB="0" distL="0" distR="0">
                <wp:extent cx="5943600" cy="19050"/>
                <wp:effectExtent l="0" t="0" r="0" b="0"/>
                <wp:docPr id="6" name=""/>
                <a:graphic xmlns:a="http://schemas.openxmlformats.org/drawingml/2006/main">
                  <a:graphicData uri="http://schemas.microsoft.com/office/word/2010/wordprocessingShape">
                    <wps:wsp>
                      <wps:cNvSpPr/>
                      <wps:nvSpPr>
                        <wps:cNvPr id="5" name=""/>
                        <wps:cNvSpPr/>
                      </wps:nvSpPr>
                      <wps:spPr>
                        <a:xfrm>
                          <a:off x="0" y="0"/>
                          <a:ext cx="5943600" cy="19080"/>
                        </a:xfrm>
                        <a:prstGeom prst="rect">
                          <a:avLst/>
                        </a:prstGeom>
                        <a:solidFill>
                          <a:srgbClr val="a0a0a0"/>
                        </a:solidFill>
                        <a:ln w="0">
                          <a:noFill/>
                        </a:ln>
                      </wps:spPr>
                      <wps:bodyPr/>
                    </wps:wsp>
                  </a:graphicData>
                </a:graphic>
                <wp14:sizeRelH relativeFrom="page">
                  <wp14:pctWidth>100000</wp14:pctWidth>
                </wp14:sizeRelH>
              </wp:inline>
            </w:drawing>
          </mc:Choice>
          <mc:Fallback>
            <w:pict>
              <v:rect id="shape_0" fillcolor="#a0a0a0" stroked="f" o:allowincell="f" style="position:absolute;margin-left:0pt;margin-top:-1.55pt;width:467.95pt;height:1.45pt;mso-wrap-style:none;v-text-anchor:middle;mso-position-horizontal:center;mso-position-vertical:top">
                <v:fill o:detectmouseclick="t" type="solid" color2="#5f5f5f"/>
                <v:stroke color="#3465a4" joinstyle="round" endcap="flat"/>
                <w10:wrap type="topAndBottom"/>
              </v:rect>
            </w:pict>
          </mc:Fallback>
        </mc:AlternateContent>
      </w:r>
    </w:p>
    <w:p>
      <w:pPr>
        <w:pStyle w:val="Normal1"/>
        <w:rPr/>
      </w:pPr>
      <w:r>
        <w:rPr/>
      </w:r>
    </w:p>
    <w:p>
      <w:pPr>
        <w:pStyle w:val="Normal1"/>
        <w:rPr/>
      </w:pPr>
      <w:hyperlink r:id="rId10">
        <w:r>
          <w:rPr>
            <w:color w:val="1155CC"/>
            <w:u w:val="single"/>
          </w:rPr>
          <w:t>State Capture: How Conservative Activists, Big Businesses, and Wealthy Donors Reshaped the American States -- and the Nation</w:t>
        </w:r>
      </w:hyperlink>
      <w:r>
        <w:rPr/>
        <w:t xml:space="preserve"> by Alexander Hertel-Fernandez, 2019, Oxford University Press</w:t>
      </w:r>
    </w:p>
    <w:p>
      <w:pPr>
        <w:pStyle w:val="Normal1"/>
        <w:rPr/>
      </w:pPr>
      <w:r>
        <w:rPr/>
      </w:r>
    </w:p>
    <w:p>
      <w:pPr>
        <w:pStyle w:val="Normal1"/>
        <w:rPr/>
      </w:pPr>
      <w:r>
        <w:rPr/>
        <w:t>“</w:t>
      </w:r>
      <w:r>
        <w:rPr/>
        <w:t>Provides the first in-depth and accessible history of the rise of cross-state conservative lobbying groups, including the American Legislative Exchange Council, the State Policy Network, and Americans for Prosperity, documenting both their victories and importantly, their missteps, over time”</w:t>
      </w:r>
    </w:p>
    <w:p>
      <w:pPr>
        <w:pStyle w:val="Normal1"/>
        <w:rPr/>
      </w:pPr>
      <w:r>
        <w:rPr/>
      </w:r>
    </w:p>
    <w:p>
      <w:pPr>
        <w:pStyle w:val="Normal1"/>
        <w:rPr/>
      </w:pPr>
      <w:r>
        <w:rPr/>
        <w:t xml:space="preserve">by the same author, a magazine article based on the above book: </w:t>
      </w:r>
    </w:p>
    <w:p>
      <w:pPr>
        <w:pStyle w:val="Normal1"/>
        <w:rPr/>
      </w:pPr>
      <w:r>
        <w:rPr/>
      </w:r>
    </w:p>
    <w:p>
      <w:pPr>
        <w:pStyle w:val="Normal1"/>
        <w:rPr/>
      </w:pPr>
      <w:hyperlink r:id="rId11">
        <w:r>
          <w:rPr>
            <w:color w:val="1155CC"/>
            <w:u w:val="single"/>
          </w:rPr>
          <w:t>How the Right Trounced Liberals in the States</w:t>
        </w:r>
      </w:hyperlink>
      <w:r>
        <w:rPr/>
        <w:t xml:space="preserve">, democracyjournal.org, Winter 2016. </w:t>
      </w:r>
    </w:p>
    <w:p>
      <w:pPr>
        <w:pStyle w:val="Normal1"/>
        <w:rPr/>
      </w:pPr>
      <w:r>
        <w:rPr/>
      </w:r>
    </w:p>
    <w:p>
      <w:pPr>
        <w:pStyle w:val="Normal1"/>
        <w:rPr/>
      </w:pPr>
      <w:r>
        <w:rPr/>
      </w:r>
    </w:p>
    <w:p>
      <w:pPr>
        <w:pStyle w:val="Normal1"/>
        <w:rPr/>
      </w:pPr>
      <w:r>
        <w:rPr/>
        <mc:AlternateContent>
          <mc:Choice Requires="wps">
            <w:drawing>
              <wp:inline distT="0" distB="0" distL="0" distR="0">
                <wp:extent cx="5943600" cy="19050"/>
                <wp:effectExtent l="0" t="0" r="0" b="0"/>
                <wp:docPr id="7" name=""/>
                <a:graphic xmlns:a="http://schemas.openxmlformats.org/drawingml/2006/main">
                  <a:graphicData uri="http://schemas.microsoft.com/office/word/2010/wordprocessingShape">
                    <wps:wsp>
                      <wps:cNvSpPr/>
                      <wps:nvSpPr>
                        <wps:cNvPr id="6" name=""/>
                        <wps:cNvSpPr/>
                      </wps:nvSpPr>
                      <wps:spPr>
                        <a:xfrm>
                          <a:off x="0" y="0"/>
                          <a:ext cx="5943600" cy="19080"/>
                        </a:xfrm>
                        <a:prstGeom prst="rect">
                          <a:avLst/>
                        </a:prstGeom>
                        <a:solidFill>
                          <a:srgbClr val="a0a0a0"/>
                        </a:solidFill>
                        <a:ln w="0">
                          <a:noFill/>
                        </a:ln>
                      </wps:spPr>
                      <wps:bodyPr/>
                    </wps:wsp>
                  </a:graphicData>
                </a:graphic>
                <wp14:sizeRelH relativeFrom="page">
                  <wp14:pctWidth>100000</wp14:pctWidth>
                </wp14:sizeRelH>
              </wp:inline>
            </w:drawing>
          </mc:Choice>
          <mc:Fallback>
            <w:pict>
              <v:rect id="shape_0" fillcolor="#a0a0a0" stroked="f" o:allowincell="f" style="position:absolute;margin-left:0pt;margin-top:-1.55pt;width:467.95pt;height:1.45pt;mso-wrap-style:none;v-text-anchor:middle;mso-position-horizontal:center;mso-position-vertical:top">
                <v:fill o:detectmouseclick="t" type="solid" color2="#5f5f5f"/>
                <v:stroke color="#3465a4" joinstyle="round" endcap="flat"/>
                <w10:wrap type="topAndBottom"/>
              </v:rect>
            </w:pict>
          </mc:Fallback>
        </mc:AlternateContent>
      </w:r>
    </w:p>
    <w:p>
      <w:pPr>
        <w:pStyle w:val="Heading2"/>
        <w:keepNext w:val="false"/>
        <w:keepLines w:val="false"/>
        <w:pBdr/>
        <w:shd w:val="clear" w:fill="FFFFFF"/>
        <w:spacing w:lineRule="auto" w:line="240" w:before="0" w:after="0"/>
        <w:rPr>
          <w:sz w:val="26"/>
          <w:szCs w:val="26"/>
        </w:rPr>
      </w:pPr>
      <w:hyperlink r:id="rId12">
        <w:bookmarkStart w:id="0" w:name="_o5x3oo1m8klq"/>
        <w:bookmarkEnd w:id="0"/>
        <w:r>
          <w:rPr>
            <w:color w:val="1155CC"/>
            <w:sz w:val="26"/>
            <w:szCs w:val="26"/>
            <w:u w:val="single"/>
          </w:rPr>
          <w:t>Idaho lawmaker's family farm raided by ICE</w:t>
        </w:r>
      </w:hyperlink>
      <w:r>
        <w:rPr>
          <w:sz w:val="26"/>
          <w:szCs w:val="26"/>
        </w:rPr>
        <w:t>, 3/31/25</w:t>
      </w:r>
    </w:p>
    <w:p>
      <w:pPr>
        <w:pStyle w:val="Normal1"/>
        <w:rPr/>
      </w:pPr>
      <w:r>
        <w:rPr/>
      </w:r>
    </w:p>
    <w:p>
      <w:pPr>
        <w:pStyle w:val="Normal1"/>
        <w:rPr/>
      </w:pPr>
      <w:r>
        <w:rPr/>
        <w:t>Local TV station in channel 7 KTVB Boise, ID, reports on how MAGA Republican operatives inside Trump administration are using ICE raids to harass other Republican legislators who don’t obey…</w:t>
      </w:r>
    </w:p>
    <w:p>
      <w:pPr>
        <w:pStyle w:val="Normal1"/>
        <w:rPr/>
      </w:pPr>
      <w:r>
        <w:rPr/>
      </w:r>
    </w:p>
    <w:p>
      <w:pPr>
        <w:pStyle w:val="Normal1"/>
        <w:rPr/>
      </w:pPr>
      <w:r>
        <w:rPr/>
      </w:r>
    </w:p>
    <w:p>
      <w:pPr>
        <w:pStyle w:val="Normal1"/>
        <w:rPr/>
      </w:pPr>
      <w:r>
        <w:rPr/>
        <mc:AlternateContent>
          <mc:Choice Requires="wps">
            <w:drawing>
              <wp:inline distT="0" distB="0" distL="0" distR="0">
                <wp:extent cx="5943600" cy="19050"/>
                <wp:effectExtent l="0" t="0" r="0" b="0"/>
                <wp:docPr id="8" name=""/>
                <a:graphic xmlns:a="http://schemas.openxmlformats.org/drawingml/2006/main">
                  <a:graphicData uri="http://schemas.microsoft.com/office/word/2010/wordprocessingShape">
                    <wps:wsp>
                      <wps:cNvSpPr/>
                      <wps:nvSpPr>
                        <wps:cNvPr id="7" name=""/>
                        <wps:cNvSpPr/>
                      </wps:nvSpPr>
                      <wps:spPr>
                        <a:xfrm>
                          <a:off x="0" y="0"/>
                          <a:ext cx="5943600" cy="19080"/>
                        </a:xfrm>
                        <a:prstGeom prst="rect">
                          <a:avLst/>
                        </a:prstGeom>
                        <a:solidFill>
                          <a:srgbClr val="a0a0a0"/>
                        </a:solidFill>
                        <a:ln w="0">
                          <a:noFill/>
                        </a:ln>
                      </wps:spPr>
                      <wps:bodyPr/>
                    </wps:wsp>
                  </a:graphicData>
                </a:graphic>
                <wp14:sizeRelH relativeFrom="page">
                  <wp14:pctWidth>100000</wp14:pctWidth>
                </wp14:sizeRelH>
              </wp:inline>
            </w:drawing>
          </mc:Choice>
          <mc:Fallback>
            <w:pict>
              <v:rect id="shape_0" fillcolor="#a0a0a0" stroked="f" o:allowincell="f" style="position:absolute;margin-left:0pt;margin-top:-1.55pt;width:467.95pt;height:1.45pt;mso-wrap-style:none;v-text-anchor:middle;mso-position-horizontal:center;mso-position-vertical:top">
                <v:fill o:detectmouseclick="t" type="solid" color2="#5f5f5f"/>
                <v:stroke color="#3465a4" joinstyle="round" endcap="flat"/>
                <w10:wrap type="topAndBottom"/>
              </v:rect>
            </w:pict>
          </mc:Fallback>
        </mc:AlternateContent>
      </w:r>
    </w:p>
    <w:p>
      <w:pPr>
        <w:pStyle w:val="Normal1"/>
        <w:rPr/>
      </w:pPr>
      <w:r>
        <w:rPr/>
        <w:t>“</w:t>
      </w:r>
      <w:r>
        <w:rPr/>
        <w:t xml:space="preserve">Structure of Social Change” by Koch Industries Executive VP Richard Fink, 1996, see KochDocs website: </w:t>
      </w:r>
    </w:p>
    <w:p>
      <w:pPr>
        <w:pStyle w:val="Normal1"/>
        <w:rPr/>
      </w:pPr>
      <w:hyperlink r:id="rId13">
        <w:r>
          <w:rPr>
            <w:color w:val="1155CC"/>
            <w:u w:val="single"/>
          </w:rPr>
          <w:t>https://kochdocs.org/2019/08/19/1996-structure-of-social-change-by-koch-industries-executive-vp-richard-fink/</w:t>
        </w:r>
      </w:hyperlink>
    </w:p>
    <w:p>
      <w:pPr>
        <w:pStyle w:val="Normal1"/>
        <w:rPr/>
      </w:pPr>
      <w:r>
        <w:rPr/>
      </w:r>
    </w:p>
    <w:p>
      <w:pPr>
        <w:pStyle w:val="Normal1"/>
        <w:rPr/>
      </w:pPr>
      <w:r>
        <w:rPr/>
        <w:t xml:space="preserve">The original manuscript by Richard Fink, proposed to Charles Koch in the 1970s as a strategic plan to change politics in the US. </w:t>
      </w:r>
    </w:p>
    <w:p>
      <w:pPr>
        <w:pStyle w:val="Normal1"/>
        <w:rPr/>
      </w:pPr>
      <w:r>
        <w:rPr/>
      </w:r>
    </w:p>
    <w:p>
      <w:pPr>
        <w:pStyle w:val="Normal1"/>
        <w:rPr/>
      </w:pPr>
      <w:r>
        <w:rPr/>
        <mc:AlternateContent>
          <mc:Choice Requires="wps">
            <w:drawing>
              <wp:inline distT="0" distB="0" distL="0" distR="0">
                <wp:extent cx="5943600" cy="19050"/>
                <wp:effectExtent l="0" t="0" r="0" b="0"/>
                <wp:docPr id="9" name=""/>
                <a:graphic xmlns:a="http://schemas.openxmlformats.org/drawingml/2006/main">
                  <a:graphicData uri="http://schemas.microsoft.com/office/word/2010/wordprocessingShape">
                    <wps:wsp>
                      <wps:cNvSpPr/>
                      <wps:nvSpPr>
                        <wps:cNvPr id="8" name=""/>
                        <wps:cNvSpPr/>
                      </wps:nvSpPr>
                      <wps:spPr>
                        <a:xfrm>
                          <a:off x="0" y="0"/>
                          <a:ext cx="5943600" cy="19080"/>
                        </a:xfrm>
                        <a:prstGeom prst="rect">
                          <a:avLst/>
                        </a:prstGeom>
                        <a:solidFill>
                          <a:srgbClr val="a0a0a0"/>
                        </a:solidFill>
                        <a:ln w="0">
                          <a:noFill/>
                        </a:ln>
                      </wps:spPr>
                      <wps:bodyPr/>
                    </wps:wsp>
                  </a:graphicData>
                </a:graphic>
                <wp14:sizeRelH relativeFrom="page">
                  <wp14:pctWidth>100000</wp14:pctWidth>
                </wp14:sizeRelH>
              </wp:inline>
            </w:drawing>
          </mc:Choice>
          <mc:Fallback>
            <w:pict>
              <v:rect id="shape_0" fillcolor="#a0a0a0" stroked="f" o:allowincell="f" style="position:absolute;margin-left:0pt;margin-top:-1.55pt;width:467.95pt;height:1.45pt;mso-wrap-style:none;v-text-anchor:middle;mso-position-horizontal:center;mso-position-vertical:top">
                <v:fill o:detectmouseclick="t" type="solid" color2="#5f5f5f"/>
                <v:stroke color="#3465a4" joinstyle="round" endcap="flat"/>
                <w10:wrap type="topAndBottom"/>
              </v:rect>
            </w:pict>
          </mc:Fallback>
        </mc:AlternateContent>
      </w:r>
    </w:p>
    <w:p>
      <w:pPr>
        <w:pStyle w:val="Normal1"/>
        <w:rPr/>
      </w:pPr>
      <w:r>
        <w:rPr/>
        <w:t>“</w:t>
      </w:r>
      <w:r>
        <w:rPr/>
        <w:t xml:space="preserve">Winning the House in 2026”, Dec 17, 2024, </w:t>
      </w:r>
      <w:hyperlink r:id="rId14">
        <w:r>
          <w:rPr>
            <w:color w:val="1155CC"/>
            <w:u w:val="single"/>
          </w:rPr>
          <w:t>https://www.democracyalliance.org/da-blog/winning-the-house-in-2026/</w:t>
        </w:r>
      </w:hyperlink>
    </w:p>
    <w:p>
      <w:pPr>
        <w:pStyle w:val="Normal1"/>
        <w:rPr/>
      </w:pPr>
      <w:r>
        <w:rPr/>
      </w:r>
    </w:p>
    <w:p>
      <w:pPr>
        <w:pStyle w:val="Normal1"/>
        <w:rPr/>
      </w:pPr>
      <w:r>
        <w:rPr/>
        <w:t xml:space="preserve">Good article summarizing a possible Democratic strategy for regaining control of the House of Representatives in 2026. From the Democracy Alliance network. </w:t>
      </w:r>
    </w:p>
    <w:p>
      <w:pPr>
        <w:pStyle w:val="Normal1"/>
        <w:rPr/>
      </w:pPr>
      <w:r>
        <w:rPr/>
      </w:r>
    </w:p>
    <w:p>
      <w:pPr>
        <w:pStyle w:val="Normal1"/>
        <w:rPr/>
      </w:pPr>
      <w:r>
        <w:rPr/>
        <mc:AlternateContent>
          <mc:Choice Requires="wps">
            <w:drawing>
              <wp:inline distT="0" distB="0" distL="0" distR="0">
                <wp:extent cx="5943600" cy="19050"/>
                <wp:effectExtent l="0" t="0" r="0" b="0"/>
                <wp:docPr id="10" name=""/>
                <a:graphic xmlns:a="http://schemas.openxmlformats.org/drawingml/2006/main">
                  <a:graphicData uri="http://schemas.microsoft.com/office/word/2010/wordprocessingShape">
                    <wps:wsp>
                      <wps:cNvSpPr/>
                      <wps:nvSpPr>
                        <wps:cNvPr id="9" name=""/>
                        <wps:cNvSpPr/>
                      </wps:nvSpPr>
                      <wps:spPr>
                        <a:xfrm>
                          <a:off x="0" y="0"/>
                          <a:ext cx="5943600" cy="19080"/>
                        </a:xfrm>
                        <a:prstGeom prst="rect">
                          <a:avLst/>
                        </a:prstGeom>
                        <a:solidFill>
                          <a:srgbClr val="a0a0a0"/>
                        </a:solidFill>
                        <a:ln w="0">
                          <a:noFill/>
                        </a:ln>
                      </wps:spPr>
                      <wps:bodyPr/>
                    </wps:wsp>
                  </a:graphicData>
                </a:graphic>
                <wp14:sizeRelH relativeFrom="page">
                  <wp14:pctWidth>100000</wp14:pctWidth>
                </wp14:sizeRelH>
              </wp:inline>
            </w:drawing>
          </mc:Choice>
          <mc:Fallback>
            <w:pict>
              <v:rect id="shape_0" fillcolor="#a0a0a0" stroked="f" o:allowincell="f" style="position:absolute;margin-left:0pt;margin-top:-1.55pt;width:467.95pt;height:1.45pt;mso-wrap-style:none;v-text-anchor:middle;mso-position-horizontal:center;mso-position-vertical:top">
                <v:fill o:detectmouseclick="t" type="solid" color2="#5f5f5f"/>
                <v:stroke color="#3465a4" joinstyle="round" endcap="flat"/>
                <w10:wrap type="topAndBottom"/>
              </v:rect>
            </w:pict>
          </mc:Fallback>
        </mc:AlternateContent>
      </w:r>
    </w:p>
    <w:p>
      <w:pPr>
        <w:pStyle w:val="Normal1"/>
        <w:rPr/>
      </w:pPr>
      <w:r>
        <w:rPr/>
        <w:t xml:space="preserve">Other worthwhile books: </w:t>
      </w:r>
    </w:p>
    <w:p>
      <w:pPr>
        <w:pStyle w:val="Normal1"/>
        <w:rPr/>
      </w:pPr>
      <w:r>
        <w:rPr/>
      </w:r>
    </w:p>
    <w:p>
      <w:pPr>
        <w:pStyle w:val="Normal1"/>
        <w:rPr/>
      </w:pPr>
      <w:r>
        <w:rPr/>
        <w:t xml:space="preserve">Diana B. Henriques, </w:t>
      </w:r>
      <w:r>
        <w:rPr>
          <w:i/>
        </w:rPr>
        <w:t>Taming the Street: The Old Guard, the New Deal, and FDR's Fight to Regulate American Capitalism</w:t>
      </w:r>
      <w:r>
        <w:rPr/>
        <w:t>, 2023, Random House. (</w:t>
      </w:r>
      <w:hyperlink r:id="rId15">
        <w:r>
          <w:rPr>
            <w:color w:val="1155CC"/>
            <w:u w:val="single"/>
          </w:rPr>
          <w:t>Amazon page</w:t>
        </w:r>
      </w:hyperlink>
      <w:r>
        <w:rPr/>
        <w:t>)</w:t>
      </w:r>
    </w:p>
    <w:p>
      <w:pPr>
        <w:pStyle w:val="Normal1"/>
        <w:rPr/>
      </w:pPr>
      <w:r>
        <w:rPr/>
      </w:r>
    </w:p>
    <w:p>
      <w:pPr>
        <w:pStyle w:val="Normal1"/>
        <w:rPr/>
      </w:pPr>
      <w:r>
        <w:rPr/>
        <w:t xml:space="preserve">Though unrelated to Dark Money, this is the epic tale of how the Roosevelt administration implemented the first ever regulations imposed on American financial markets – which were hard fought by the old money, and old traditions, that had guarded them since colonial times. This was how the Security and Exchange Commission was established, and whose first two directors were the legendary figures of Joseph P. Kennedy and William O. Douglas. This accomplishment was central to the New Deal transformation of US politics in the 1930s. </w:t>
      </w:r>
    </w:p>
    <w:p>
      <w:pPr>
        <w:pStyle w:val="Normal1"/>
        <w:rPr/>
      </w:pPr>
      <w:r>
        <w:rPr/>
      </w:r>
    </w:p>
    <w:p>
      <w:pPr>
        <w:pStyle w:val="Normal1"/>
        <w:rPr/>
      </w:pPr>
      <w:r>
        <w:rPr/>
        <w:t xml:space="preserve">Efforts of the scale needed by the Roosevelt administration to tame capitalism in the 1930s may be needed again (if not moreso) in our time. </w:t>
      </w:r>
    </w:p>
    <w:p>
      <w:pPr>
        <w:pStyle w:val="Normal1"/>
        <w:rPr/>
      </w:pPr>
      <w:r>
        <w:rPr/>
      </w:r>
    </w:p>
    <w:p>
      <w:pPr>
        <w:pStyle w:val="Normal1"/>
        <w:rPr/>
      </w:pPr>
      <w:r>
        <w:rPr/>
        <mc:AlternateContent>
          <mc:Choice Requires="wps">
            <w:drawing>
              <wp:inline distT="0" distB="0" distL="0" distR="0">
                <wp:extent cx="5943600" cy="19050"/>
                <wp:effectExtent l="0" t="0" r="0" b="0"/>
                <wp:docPr id="11" name=""/>
                <a:graphic xmlns:a="http://schemas.openxmlformats.org/drawingml/2006/main">
                  <a:graphicData uri="http://schemas.microsoft.com/office/word/2010/wordprocessingShape">
                    <wps:wsp>
                      <wps:cNvSpPr/>
                      <wps:nvSpPr>
                        <wps:cNvPr id="10" name=""/>
                        <wps:cNvSpPr/>
                      </wps:nvSpPr>
                      <wps:spPr>
                        <a:xfrm>
                          <a:off x="0" y="0"/>
                          <a:ext cx="5943600" cy="19080"/>
                        </a:xfrm>
                        <a:prstGeom prst="rect">
                          <a:avLst/>
                        </a:prstGeom>
                        <a:solidFill>
                          <a:srgbClr val="a0a0a0"/>
                        </a:solidFill>
                        <a:ln w="0">
                          <a:noFill/>
                        </a:ln>
                      </wps:spPr>
                      <wps:bodyPr/>
                    </wps:wsp>
                  </a:graphicData>
                </a:graphic>
                <wp14:sizeRelH relativeFrom="page">
                  <wp14:pctWidth>100000</wp14:pctWidth>
                </wp14:sizeRelH>
              </wp:inline>
            </w:drawing>
          </mc:Choice>
          <mc:Fallback>
            <w:pict>
              <v:rect id="shape_0" fillcolor="#a0a0a0" stroked="f" o:allowincell="f" style="position:absolute;margin-left:0pt;margin-top:-1.55pt;width:467.95pt;height:1.45pt;mso-wrap-style:none;v-text-anchor:middle;mso-position-horizontal:center;mso-position-vertical:top">
                <v:fill o:detectmouseclick="t" type="solid" color2="#5f5f5f"/>
                <v:stroke color="#3465a4" joinstyle="round" endcap="flat"/>
                <w10:wrap type="topAndBottom"/>
              </v:rect>
            </w:pict>
          </mc:Fallback>
        </mc:AlternateContent>
      </w:r>
    </w:p>
    <w:p>
      <w:pPr>
        <w:pStyle w:val="Normal1"/>
        <w:rPr/>
      </w:pPr>
      <w:r>
        <w:rPr/>
      </w:r>
    </w:p>
    <w:p>
      <w:pPr>
        <w:pStyle w:val="Normal1"/>
        <w:rPr/>
      </w:pPr>
      <w:r>
        <w:rPr/>
        <w:t xml:space="preserve">Senator Sheldon Whitehouse channel on YouTube: </w:t>
      </w:r>
    </w:p>
    <w:p>
      <w:pPr>
        <w:pStyle w:val="Normal1"/>
        <w:rPr/>
      </w:pPr>
      <w:hyperlink r:id="rId16">
        <w:r>
          <w:rPr>
            <w:color w:val="1155CC"/>
            <w:u w:val="single"/>
          </w:rPr>
          <w:t>https://www.youtube.com/@SenatorWhitehouse</w:t>
        </w:r>
      </w:hyperlink>
    </w:p>
    <w:p>
      <w:pPr>
        <w:pStyle w:val="Normal1"/>
        <w:rPr/>
      </w:pPr>
      <w:r>
        <w:rPr/>
      </w:r>
    </w:p>
    <w:p>
      <w:pPr>
        <w:pStyle w:val="Normal1"/>
        <w:rPr/>
      </w:pPr>
      <w:r>
        <w:rPr/>
        <w:t xml:space="preserve">All of the many videos are good, but in particular I recommend this series: </w:t>
      </w:r>
      <w:hyperlink r:id="rId17">
        <w:r>
          <w:rPr>
            <w:color w:val="1155CC"/>
            <w:u w:val="single"/>
          </w:rPr>
          <w:t>The Scheme</w:t>
        </w:r>
      </w:hyperlink>
    </w:p>
    <w:p>
      <w:pPr>
        <w:pStyle w:val="Normal1"/>
        <w:rPr/>
      </w:pPr>
      <w:r>
        <w:rPr/>
        <w:t xml:space="preserve">which is a collection of (currently) 35 videos of speeches on the Senate floor that the senator has made on the general topic of the weaponization of the justice system, which amounts to the capture of the court by Dark Money. In other words, the majority of the justices that have been appointed were selected because their political views align with the conservative values of the Dark Money group.  </w:t>
      </w:r>
    </w:p>
    <w:p>
      <w:pPr>
        <w:pStyle w:val="Normal1"/>
        <w:rPr/>
      </w:pPr>
      <w:r>
        <w:rPr/>
      </w:r>
    </w:p>
    <w:p>
      <w:pPr>
        <w:pStyle w:val="Normal1"/>
        <w:rPr/>
      </w:pPr>
      <w:r>
        <w:rPr/>
        <w:t xml:space="preserve">I must confess I have not watched every video here, but would recommend the first few of them, where Whitehouse clearly lays out the foundations for this capture of the court, starting with the Powell Memorandum, way back in 1971, which can be read </w:t>
      </w:r>
      <w:hyperlink r:id="rId18">
        <w:r>
          <w:rPr>
            <w:color w:val="1155CC"/>
            <w:u w:val="single"/>
          </w:rPr>
          <w:t>here</w:t>
        </w:r>
      </w:hyperlink>
      <w:r>
        <w:rPr/>
        <w:t xml:space="preserve">. </w:t>
      </w:r>
    </w:p>
    <w:p>
      <w:pPr>
        <w:pStyle w:val="Normal1"/>
        <w:rPr/>
      </w:pPr>
      <w:r>
        <w:rPr/>
      </w:r>
    </w:p>
    <w:p>
      <w:pPr>
        <w:pStyle w:val="Normal1"/>
        <w:rPr/>
      </w:pPr>
      <w:r>
        <w:rPr/>
        <w:t xml:space="preserve"> </w:t>
      </w:r>
    </w:p>
    <w:p>
      <w:pPr>
        <w:pStyle w:val="Normal1"/>
        <w:rPr/>
      </w:pPr>
      <w:r>
        <w:rPr/>
      </w:r>
    </w:p>
    <w:p>
      <w:pPr>
        <w:pStyle w:val="Normal1"/>
        <w:rPr/>
      </w:pPr>
      <w:r>
        <w:rPr/>
      </w:r>
    </w:p>
    <w:p>
      <w:pPr>
        <w:pStyle w:val="Normal1"/>
        <w:rPr/>
      </w:pPr>
      <w:r>
        <w:rPr/>
      </w:r>
    </w:p>
    <w:p>
      <w:pPr>
        <w:pStyle w:val="Normal1"/>
        <w:rPr/>
      </w:pPr>
      <w:r>
        <w:rPr/>
      </w:r>
    </w:p>
    <w:p>
      <w:pPr>
        <w:pStyle w:val="Normal1"/>
        <w:rPr/>
      </w:pPr>
      <w:r>
        <w:rPr/>
      </w:r>
    </w:p>
    <w:p>
      <w:pPr>
        <w:pStyle w:val="Normal1"/>
        <w:rPr/>
      </w:pPr>
      <w:r>
        <w:rPr/>
      </w:r>
    </w:p>
    <w:p>
      <w:pPr>
        <w:pStyle w:val="Normal1"/>
        <w:rPr/>
      </w:pPr>
      <w:r>
        <w:rPr/>
      </w:r>
    </w:p>
    <w:p>
      <w:pPr>
        <w:pStyle w:val="Normal1"/>
        <w:rPr/>
      </w:pPr>
      <w:r>
        <w:rPr/>
      </w:r>
    </w:p>
    <w:p>
      <w:pPr>
        <w:pStyle w:val="Normal1"/>
        <w:rPr/>
      </w:pPr>
      <w:r>
        <w:rPr/>
      </w:r>
    </w:p>
    <w:p>
      <w:pPr>
        <w:pStyle w:val="Normal1"/>
        <w:rPr/>
      </w:pPr>
      <w:r>
        <w:rPr/>
      </w:r>
    </w:p>
    <w:p>
      <w:pPr>
        <w:pStyle w:val="Normal1"/>
        <w:rPr/>
      </w:pPr>
      <w:r>
        <w:rPr/>
      </w:r>
    </w:p>
    <w:p>
      <w:pPr>
        <w:pStyle w:val="Normal1"/>
        <w:rPr/>
      </w:pPr>
      <w:r>
        <w:rPr/>
      </w:r>
    </w:p>
    <w:p>
      <w:pPr>
        <w:pStyle w:val="Normal1"/>
        <w:rPr/>
      </w:pPr>
      <w:r>
        <w:rPr/>
      </w:r>
    </w:p>
    <w:sectPr>
      <w:type w:val="nextPage"/>
      <w:pgSz w:w="12240" w:h="15840"/>
      <w:pgMar w:left="1440" w:right="1440" w:gutter="0" w:header="0" w:top="1440" w:footer="0" w:bottom="144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swiss"/>
    <w:pitch w:val="default"/>
  </w:font>
  <w:font w:name="Liberation Sans">
    <w:altName w:val="Arial"/>
    <w:charset w:val="01"/>
    <w:family w:val="swiss"/>
    <w:pitch w:val="variable"/>
  </w:font>
</w:fonts>
</file>

<file path=word/settings.xml><?xml version="1.0" encoding="utf-8"?>
<w:settings xmlns:w="http://schemas.openxmlformats.org/wordprocessingml/2006/main">
  <w:zoom w:percent="63"/>
  <w:displayBackgroundShape/>
  <w:revisionView w:insDel="0" w:formatting="0"/>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US" w:eastAsia="zh-CN" w:bidi="hi-IN"/>
      </w:rPr>
    </w:rPrDefault>
    <w:pPrDefault>
      <w:pPr>
        <w:suppressAutoHyphens w:val="true"/>
      </w:pPr>
    </w:pPrDefault>
  </w:docDefaults>
  <w:style w:type="paragraph" w:styleId="Normal">
    <w:name w:val="Normal"/>
    <w:qFormat/>
    <w:pPr>
      <w:widowControl/>
      <w:bidi w:val="0"/>
      <w:spacing w:lineRule="auto" w:line="276" w:before="0" w:after="0"/>
      <w:jc w:val="left"/>
    </w:pPr>
    <w:rPr>
      <w:rFonts w:ascii="Arial" w:hAnsi="Arial" w:eastAsia="Arial" w:cs="Arial"/>
      <w:color w:val="auto"/>
      <w:kern w:val="0"/>
      <w:sz w:val="22"/>
      <w:szCs w:val="22"/>
      <w:lang w:val="en-US" w:eastAsia="zh-CN" w:bidi="hi-IN"/>
    </w:rPr>
  </w:style>
  <w:style w:type="paragraph" w:styleId="Heading1">
    <w:name w:val="Heading 1"/>
    <w:basedOn w:val="Normal1"/>
    <w:next w:val="Normal1"/>
    <w:qFormat/>
    <w:pPr>
      <w:keepNext w:val="true"/>
      <w:keepLines/>
      <w:pageBreakBefore w:val="false"/>
      <w:spacing w:lineRule="auto" w:line="240" w:before="400" w:after="120"/>
    </w:pPr>
    <w:rPr>
      <w:sz w:val="40"/>
      <w:szCs w:val="40"/>
    </w:rPr>
  </w:style>
  <w:style w:type="paragraph" w:styleId="Heading2">
    <w:name w:val="Heading 2"/>
    <w:basedOn w:val="Normal1"/>
    <w:next w:val="Normal1"/>
    <w:qFormat/>
    <w:pPr>
      <w:keepNext w:val="true"/>
      <w:keepLines/>
      <w:pageBreakBefore w:val="false"/>
      <w:spacing w:lineRule="auto" w:line="240" w:before="360" w:after="120"/>
    </w:pPr>
    <w:rPr>
      <w:b w:val="false"/>
      <w:sz w:val="32"/>
      <w:szCs w:val="32"/>
    </w:rPr>
  </w:style>
  <w:style w:type="paragraph" w:styleId="Heading3">
    <w:name w:val="Heading 3"/>
    <w:basedOn w:val="Normal1"/>
    <w:next w:val="Normal1"/>
    <w:qFormat/>
    <w:pPr>
      <w:keepNext w:val="true"/>
      <w:keepLines/>
      <w:pageBreakBefore w:val="false"/>
      <w:spacing w:lineRule="auto" w:line="240" w:before="320" w:after="80"/>
    </w:pPr>
    <w:rPr>
      <w:b w:val="false"/>
      <w:color w:val="434343"/>
      <w:sz w:val="28"/>
      <w:szCs w:val="28"/>
    </w:rPr>
  </w:style>
  <w:style w:type="paragraph" w:styleId="Heading4">
    <w:name w:val="Heading 4"/>
    <w:basedOn w:val="Normal1"/>
    <w:next w:val="Normal1"/>
    <w:qFormat/>
    <w:pPr>
      <w:keepNext w:val="true"/>
      <w:keepLines/>
      <w:pageBreakBefore w:val="false"/>
      <w:spacing w:lineRule="auto" w:line="240" w:before="280" w:after="80"/>
    </w:pPr>
    <w:rPr>
      <w:color w:val="666666"/>
      <w:sz w:val="24"/>
      <w:szCs w:val="24"/>
    </w:rPr>
  </w:style>
  <w:style w:type="paragraph" w:styleId="Heading5">
    <w:name w:val="Heading 5"/>
    <w:basedOn w:val="Normal1"/>
    <w:next w:val="Normal1"/>
    <w:qFormat/>
    <w:pPr>
      <w:keepNext w:val="true"/>
      <w:keepLines/>
      <w:pageBreakBefore w:val="false"/>
      <w:spacing w:lineRule="auto" w:line="240" w:before="240" w:after="80"/>
    </w:pPr>
    <w:rPr>
      <w:color w:val="666666"/>
      <w:sz w:val="22"/>
      <w:szCs w:val="22"/>
    </w:rPr>
  </w:style>
  <w:style w:type="paragraph" w:styleId="Heading6">
    <w:name w:val="Heading 6"/>
    <w:basedOn w:val="Normal1"/>
    <w:next w:val="Normal1"/>
    <w:qFormat/>
    <w:pPr>
      <w:keepNext w:val="true"/>
      <w:keepLines/>
      <w:pageBreakBefore w:val="false"/>
      <w:spacing w:lineRule="auto" w:line="240" w:before="240" w:after="80"/>
    </w:pPr>
    <w:rPr>
      <w:i/>
      <w:color w:val="666666"/>
      <w:sz w:val="22"/>
      <w:szCs w:val="22"/>
    </w:rPr>
  </w:style>
  <w:style w:type="character" w:styleId="InternetLink">
    <w:name w:val="Hyperlink"/>
    <w:rPr>
      <w:color w:val="000080"/>
      <w:u w:val="single"/>
    </w:rPr>
  </w:style>
  <w:style w:type="paragraph" w:styleId="Heading">
    <w:name w:val="Heading"/>
    <w:basedOn w:val="Normal"/>
    <w:next w:val="TextBody"/>
    <w:qFormat/>
    <w:pPr>
      <w:keepNext w:val="true"/>
      <w:spacing w:before="240" w:after="120"/>
    </w:pPr>
    <w:rPr>
      <w:rFonts w:ascii="Liberation Sans" w:hAnsi="Liberation Sans" w:eastAsia="PingFang SC"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Arial" w:hAnsi="Arial" w:cs="Lucida Sans"/>
    </w:rPr>
  </w:style>
  <w:style w:type="paragraph" w:styleId="Caption">
    <w:name w:val="Caption"/>
    <w:basedOn w:val="Normal"/>
    <w:qFormat/>
    <w:pPr>
      <w:suppressLineNumbers/>
      <w:spacing w:before="120" w:after="120"/>
    </w:pPr>
    <w:rPr>
      <w:rFonts w:ascii="Arial" w:hAnsi="Arial" w:cs="Lucida Sans"/>
      <w:i/>
      <w:iCs/>
      <w:sz w:val="24"/>
      <w:szCs w:val="24"/>
    </w:rPr>
  </w:style>
  <w:style w:type="paragraph" w:styleId="Index">
    <w:name w:val="Index"/>
    <w:basedOn w:val="Normal"/>
    <w:qFormat/>
    <w:pPr>
      <w:suppressLineNumbers/>
    </w:pPr>
    <w:rPr>
      <w:rFonts w:ascii="Arial" w:hAnsi="Arial" w:cs="Lucida Sans"/>
    </w:rPr>
  </w:style>
  <w:style w:type="paragraph" w:styleId="Normal1" w:default="1">
    <w:name w:val="LO-normal"/>
    <w:qFormat/>
    <w:pPr>
      <w:widowControl/>
      <w:bidi w:val="0"/>
      <w:spacing w:lineRule="auto" w:line="276" w:before="0" w:after="0"/>
      <w:jc w:val="left"/>
    </w:pPr>
    <w:rPr>
      <w:rFonts w:ascii="Arial" w:hAnsi="Arial" w:eastAsia="Arial" w:cs="Arial"/>
      <w:color w:val="auto"/>
      <w:kern w:val="0"/>
      <w:sz w:val="22"/>
      <w:szCs w:val="22"/>
      <w:lang w:val="en-US" w:eastAsia="zh-CN" w:bidi="hi-IN"/>
    </w:rPr>
  </w:style>
  <w:style w:type="paragraph" w:styleId="Title">
    <w:name w:val="Title"/>
    <w:basedOn w:val="Normal1"/>
    <w:next w:val="Normal1"/>
    <w:qFormat/>
    <w:pPr>
      <w:keepNext w:val="true"/>
      <w:keepLines/>
      <w:pageBreakBefore w:val="false"/>
      <w:spacing w:lineRule="auto" w:line="240" w:before="0" w:after="60"/>
    </w:pPr>
    <w:rPr>
      <w:sz w:val="52"/>
      <w:szCs w:val="52"/>
    </w:rPr>
  </w:style>
  <w:style w:type="paragraph" w:styleId="Subtitle">
    <w:name w:val="Subtitle"/>
    <w:basedOn w:val="Normal1"/>
    <w:next w:val="Normal1"/>
    <w:qFormat/>
    <w:pPr>
      <w:keepNext w:val="true"/>
      <w:keepLines/>
      <w:pageBreakBefore w:val="false"/>
      <w:spacing w:lineRule="auto" w:line="240" w:before="0" w:after="320"/>
    </w:pPr>
    <w:rPr>
      <w:rFonts w:ascii="Arial" w:hAnsi="Arial" w:eastAsia="Arial" w:cs="Arial"/>
      <w:i w:val="false"/>
      <w:color w:val="666666"/>
      <w:sz w:val="30"/>
      <w:szCs w:val="30"/>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amazon.com/Dark-Money-History-Billionaires-Radical/dp/0385535597" TargetMode="External"/><Relationship Id="rId3" Type="http://schemas.openxmlformats.org/officeDocument/2006/relationships/hyperlink" Target="https://www.amazon.com/Kochland-History-Industries-Corporate-America/dp/1476775389/ref=sr_1_1?crid=3RT34XFZ7IFH5&amp;dib=eyJ2IjoiMSJ9.yX_MLvAeWT2q47T6r54fUYAdlDZ7qdIaWl0qMy4zsEosqKpi_MPAW9jswfvrgui_18ka-vF-Ax0PAxitt0pbSdA74zW6aX0gOmU2W9cFTQw.uYBJc8nZaOuAh4gjulznQDicGgk7sqOKclFbeGDleWQ&amp;dib_tag=se&amp;keywords=kochland+by+christopher+leonard&amp;qid=1744320702&amp;sprefix=kochland%2Caps%2C126&amp;sr=8-1" TargetMode="External"/><Relationship Id="rId4" Type="http://schemas.openxmlformats.org/officeDocument/2006/relationships/hyperlink" Target="https://youtu.be/K5jrLYcJcmg?si=UKa8pkwS7twesWMJ" TargetMode="External"/><Relationship Id="rId5" Type="http://schemas.openxmlformats.org/officeDocument/2006/relationships/hyperlink" Target="https://www.crfb.org/blogs/whats-houses-full-year-continuing-resolution" TargetMode="External"/><Relationship Id="rId6" Type="http://schemas.openxmlformats.org/officeDocument/2006/relationships/hyperlink" Target="https://youtu.be/uNoiqigl2qQ?si=4B9sjuWaJnEGYMJR" TargetMode="External"/><Relationship Id="rId7" Type="http://schemas.openxmlformats.org/officeDocument/2006/relationships/hyperlink" Target="https://youtu.be/oqhDHLgTJGw?si=-KZxj3bdOzfcUZv-" TargetMode="External"/><Relationship Id="rId8" Type="http://schemas.openxmlformats.org/officeDocument/2006/relationships/hyperlink" Target="https://en.wikipedia.org/wiki/American_Tradition_Partnership,_Inc._v._Bullock" TargetMode="External"/><Relationship Id="rId9" Type="http://schemas.openxmlformats.org/officeDocument/2006/relationships/hyperlink" Target="http://www.opensecrets.org/" TargetMode="External"/><Relationship Id="rId10" Type="http://schemas.openxmlformats.org/officeDocument/2006/relationships/hyperlink" Target="https://global.oup.com/academic/product/state-capture-9780190870799?cc=us&amp;lang=en&amp;" TargetMode="External"/><Relationship Id="rId11" Type="http://schemas.openxmlformats.org/officeDocument/2006/relationships/hyperlink" Target="https://democracyjournal.org/magazine/39/how-the-right-trounced-liberals-in-the-states/" TargetMode="External"/><Relationship Id="rId12" Type="http://schemas.openxmlformats.org/officeDocument/2006/relationships/hyperlink" Target="https://youtu.be/yg4PBvaNeF0?si=JvxRTW2Q0_p-AF5I" TargetMode="External"/><Relationship Id="rId13" Type="http://schemas.openxmlformats.org/officeDocument/2006/relationships/hyperlink" Target="https://kochdocs.org/2019/08/19/1996-structure-of-social-change-by-koch-industries-executive-vp-richard-fink/" TargetMode="External"/><Relationship Id="rId14" Type="http://schemas.openxmlformats.org/officeDocument/2006/relationships/hyperlink" Target="https://www.democracyalliance.org/da-blog/winning-the-house-in-2026/" TargetMode="External"/><Relationship Id="rId15" Type="http://schemas.openxmlformats.org/officeDocument/2006/relationships/hyperlink" Target="https://www.amazon.com/Taming-Street-Regulate-American-Capitalism/dp/0593132645/ref=sr_1_1?crid=1AWYMEMSR96B6&amp;dib=eyJ2IjoiMSJ9.QvFHHC_7-i6wVc5gTFM3sZIZpgqh1BOiLy3_21pjyUM.DEhPBiu0F5nKLWz_R9BWB7kF18NE4a19GGWy65ecFKA&amp;dib_tag=se&amp;keywords=Diana+B.+Henriques%2C+Taming+the+Street&amp;qid=1744321856&amp;s=books&amp;sprefix=diana+b.+henriques%2C+taming+the+street%2Cstripbooks%2C168&amp;sr=1-1" TargetMode="External"/><Relationship Id="rId16" Type="http://schemas.openxmlformats.org/officeDocument/2006/relationships/hyperlink" Target="https://www.youtube.com/@SenatorWhitehouse" TargetMode="External"/><Relationship Id="rId17" Type="http://schemas.openxmlformats.org/officeDocument/2006/relationships/hyperlink" Target="https://www.youtube.com/playlist?list=PLhyg5hj7I21i1Aqcaym9TRFrpWjPN9_ms" TargetMode="External"/><Relationship Id="rId18" Type="http://schemas.openxmlformats.org/officeDocument/2006/relationships/hyperlink" Target="https://scholarlycommons.law.wlu.edu/powellmemo/" TargetMode="Externa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
  <TotalTime>2</TotalTime>
  <Application>LibreOffice/7.4.6.2$MacOSX_X86_64 LibreOffice_project/5b1f5509c2decdade7fda905e3e1429a67acd63d</Application>
  <AppVersion>15.0000</AppVersion>
  <Pages>4</Pages>
  <Words>975</Words>
  <Characters>5316</Characters>
  <CharactersWithSpaces>6273</CharactersWithSpaces>
  <Paragraphs>50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Rick Casey</cp:lastModifiedBy>
  <dcterms:modified xsi:type="dcterms:W3CDTF">2025-04-12T10:10:55Z</dcterms:modified>
  <cp:revision>1</cp:revision>
  <dc:subject/>
  <dc:title/>
</cp:coreProperties>
</file>